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78" w:rsidRPr="00EE1DF5" w:rsidRDefault="00B11A78" w:rsidP="00B11A78">
      <w:pPr>
        <w:spacing w:line="360" w:lineRule="auto"/>
        <w:jc w:val="center"/>
        <w:rPr>
          <w:rFonts w:ascii="Times New Roman" w:eastAsia="黑体" w:hAnsi="Times New Roman"/>
          <w:b/>
          <w:sz w:val="36"/>
          <w:szCs w:val="36"/>
        </w:rPr>
      </w:pPr>
      <w:r w:rsidRPr="00EE1DF5">
        <w:rPr>
          <w:rFonts w:ascii="Times New Roman" w:eastAsia="黑体" w:hAnsi="Times New Roman" w:hint="eastAsia"/>
          <w:b/>
          <w:sz w:val="36"/>
          <w:szCs w:val="36"/>
        </w:rPr>
        <w:t>教育部在线教育研究中心</w:t>
      </w:r>
    </w:p>
    <w:p w:rsidR="00B11A78" w:rsidRPr="00F000CD" w:rsidRDefault="00B11A78" w:rsidP="00B11A78">
      <w:pPr>
        <w:spacing w:line="360" w:lineRule="auto"/>
        <w:jc w:val="center"/>
        <w:rPr>
          <w:rFonts w:ascii="Times New Roman" w:eastAsia="黑体" w:hAnsi="Times New Roman"/>
          <w:b/>
          <w:sz w:val="32"/>
          <w:szCs w:val="32"/>
        </w:rPr>
      </w:pPr>
      <w:r w:rsidRPr="00F000CD">
        <w:rPr>
          <w:rFonts w:ascii="Times New Roman" w:eastAsia="黑体" w:hAnsi="Times New Roman" w:hint="eastAsia"/>
          <w:b/>
          <w:sz w:val="32"/>
          <w:szCs w:val="32"/>
        </w:rPr>
        <w:t>在线教育研究基金（全通教育）</w:t>
      </w:r>
      <w:r w:rsidRPr="00F000CD">
        <w:rPr>
          <w:rFonts w:ascii="Times New Roman" w:eastAsia="黑体" w:hAnsi="Times New Roman" w:hint="eastAsia"/>
          <w:b/>
          <w:sz w:val="32"/>
          <w:szCs w:val="32"/>
        </w:rPr>
        <w:t>201</w:t>
      </w:r>
      <w:r>
        <w:rPr>
          <w:rFonts w:ascii="Times New Roman" w:eastAsia="黑体" w:hAnsi="Times New Roman" w:hint="eastAsia"/>
          <w:b/>
          <w:sz w:val="32"/>
          <w:szCs w:val="32"/>
        </w:rPr>
        <w:t>7</w:t>
      </w:r>
      <w:r w:rsidRPr="00F000CD">
        <w:rPr>
          <w:rFonts w:ascii="Times New Roman" w:eastAsia="黑体" w:hAnsi="Times New Roman" w:hint="eastAsia"/>
          <w:b/>
          <w:sz w:val="32"/>
          <w:szCs w:val="32"/>
        </w:rPr>
        <w:t>年度课题</w:t>
      </w:r>
      <w:r>
        <w:rPr>
          <w:rFonts w:ascii="Times New Roman" w:eastAsia="黑体" w:hAnsi="Times New Roman" w:hint="eastAsia"/>
          <w:b/>
          <w:sz w:val="32"/>
          <w:szCs w:val="32"/>
        </w:rPr>
        <w:t>管理</w:t>
      </w:r>
      <w:r>
        <w:rPr>
          <w:rFonts w:ascii="Times New Roman" w:eastAsia="黑体" w:hAnsi="Times New Roman"/>
          <w:b/>
          <w:sz w:val="32"/>
          <w:szCs w:val="32"/>
        </w:rPr>
        <w:t>办法</w:t>
      </w:r>
    </w:p>
    <w:p w:rsidR="00A95FCE" w:rsidRPr="00B11A78" w:rsidRDefault="00A95FCE" w:rsidP="00364F57">
      <w:pPr>
        <w:keepNext/>
        <w:keepLines/>
        <w:snapToGrid w:val="0"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28"/>
          <w:szCs w:val="28"/>
        </w:rPr>
      </w:pPr>
    </w:p>
    <w:p w:rsidR="00364F57" w:rsidRPr="00263598" w:rsidRDefault="0061532F" w:rsidP="0022739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 w:rsidRPr="00263598">
        <w:rPr>
          <w:rFonts w:asciiTheme="minorEastAsia" w:hAnsiTheme="minorEastAsia"/>
          <w:b/>
          <w:bCs/>
          <w:sz w:val="28"/>
          <w:szCs w:val="28"/>
        </w:rPr>
        <w:t>经费支付方式</w:t>
      </w:r>
    </w:p>
    <w:p w:rsidR="00A95FCE" w:rsidRDefault="00A95FCE" w:rsidP="0022739D">
      <w:pPr>
        <w:spacing w:line="360" w:lineRule="auto"/>
        <w:ind w:firstLineChars="50" w:firstLine="120"/>
        <w:rPr>
          <w:rFonts w:asciiTheme="minorEastAsia" w:hAnsiTheme="minorEastAsia"/>
          <w:bCs/>
          <w:sz w:val="24"/>
          <w:szCs w:val="24"/>
        </w:rPr>
      </w:pPr>
      <w:r w:rsidRPr="00D476D8">
        <w:rPr>
          <w:rFonts w:asciiTheme="minorEastAsia" w:hAnsiTheme="minorEastAsia" w:hint="eastAsia"/>
          <w:bCs/>
          <w:sz w:val="24"/>
          <w:szCs w:val="24"/>
        </w:rPr>
        <w:t>甲方（中心）向乙方</w:t>
      </w:r>
      <w:r w:rsidRPr="00D476D8">
        <w:rPr>
          <w:rFonts w:asciiTheme="minorEastAsia" w:hAnsiTheme="minorEastAsia"/>
          <w:bCs/>
          <w:sz w:val="24"/>
          <w:szCs w:val="24"/>
        </w:rPr>
        <w:t>（</w:t>
      </w:r>
      <w:r w:rsidRPr="00D476D8">
        <w:rPr>
          <w:rFonts w:asciiTheme="minorEastAsia" w:hAnsiTheme="minorEastAsia" w:hint="eastAsia"/>
          <w:bCs/>
          <w:sz w:val="24"/>
          <w:szCs w:val="24"/>
        </w:rPr>
        <w:t>受</w:t>
      </w:r>
      <w:r w:rsidRPr="00D476D8">
        <w:rPr>
          <w:rFonts w:asciiTheme="minorEastAsia" w:hAnsiTheme="minorEastAsia"/>
          <w:bCs/>
          <w:sz w:val="24"/>
          <w:szCs w:val="24"/>
        </w:rPr>
        <w:t>资助者）</w:t>
      </w:r>
      <w:r w:rsidRPr="00D476D8">
        <w:rPr>
          <w:rFonts w:asciiTheme="minorEastAsia" w:hAnsiTheme="minorEastAsia" w:hint="eastAsia"/>
          <w:bCs/>
          <w:sz w:val="24"/>
          <w:szCs w:val="24"/>
        </w:rPr>
        <w:t>支付</w:t>
      </w:r>
      <w:r w:rsidRPr="00D476D8">
        <w:rPr>
          <w:rFonts w:asciiTheme="minorEastAsia" w:hAnsiTheme="minorEastAsia"/>
          <w:bCs/>
          <w:sz w:val="24"/>
          <w:szCs w:val="24"/>
        </w:rPr>
        <w:t>经费方式</w:t>
      </w:r>
      <w:r w:rsidRPr="00D476D8">
        <w:rPr>
          <w:rFonts w:asciiTheme="minorEastAsia" w:hAnsiTheme="minorEastAsia" w:hint="eastAsia"/>
          <w:bCs/>
          <w:sz w:val="24"/>
          <w:szCs w:val="24"/>
        </w:rPr>
        <w:t>如下</w:t>
      </w:r>
      <w:r w:rsidRPr="00D476D8">
        <w:rPr>
          <w:rFonts w:asciiTheme="minorEastAsia" w:hAnsiTheme="minorEastAsia"/>
          <w:bCs/>
          <w:sz w:val="24"/>
          <w:szCs w:val="24"/>
        </w:rPr>
        <w:t>：</w:t>
      </w:r>
    </w:p>
    <w:p w:rsidR="006E5AB5" w:rsidRDefault="006E5AB5" w:rsidP="006E5AB5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重点</w:t>
      </w:r>
      <w:r w:rsidRPr="000E2BB6">
        <w:rPr>
          <w:rFonts w:asciiTheme="minorEastAsia" w:hAnsiTheme="minorEastAsia"/>
          <w:bCs/>
          <w:sz w:val="24"/>
          <w:szCs w:val="24"/>
        </w:rPr>
        <w:t>项目立项后，</w:t>
      </w:r>
      <w:r w:rsidRPr="000E2BB6">
        <w:rPr>
          <w:rFonts w:asciiTheme="minorEastAsia" w:hAnsiTheme="minorEastAsia" w:hint="eastAsia"/>
          <w:bCs/>
          <w:sz w:val="24"/>
          <w:szCs w:val="24"/>
        </w:rPr>
        <w:t>即拨付50</w:t>
      </w:r>
      <w:r w:rsidRPr="000E2BB6">
        <w:rPr>
          <w:rFonts w:asciiTheme="minorEastAsia" w:hAnsiTheme="minorEastAsia"/>
          <w:bCs/>
          <w:sz w:val="24"/>
          <w:szCs w:val="24"/>
        </w:rPr>
        <w:t>%经费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中期检查合格后</w:t>
      </w:r>
      <w:r w:rsidRPr="00CB5CF4">
        <w:rPr>
          <w:rFonts w:asciiTheme="minorEastAsia" w:hAnsiTheme="minorEastAsia" w:hint="eastAsia"/>
          <w:bCs/>
          <w:sz w:val="24"/>
          <w:szCs w:val="24"/>
        </w:rPr>
        <w:t>拨付30</w:t>
      </w:r>
      <w:r w:rsidRPr="00CB5CF4">
        <w:rPr>
          <w:rFonts w:asciiTheme="minorEastAsia" w:hAnsiTheme="minorEastAsia"/>
          <w:bCs/>
          <w:sz w:val="24"/>
          <w:szCs w:val="24"/>
        </w:rPr>
        <w:t>%经费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 w:rsidRPr="00CB5CF4">
        <w:rPr>
          <w:rFonts w:asciiTheme="minorEastAsia" w:hAnsiTheme="minorEastAsia" w:hint="eastAsia"/>
          <w:bCs/>
          <w:sz w:val="24"/>
          <w:szCs w:val="24"/>
        </w:rPr>
        <w:t>结题</w:t>
      </w:r>
      <w:r>
        <w:rPr>
          <w:rFonts w:asciiTheme="minorEastAsia" w:hAnsiTheme="minorEastAsia"/>
          <w:bCs/>
          <w:sz w:val="24"/>
          <w:szCs w:val="24"/>
        </w:rPr>
        <w:t>验收合格</w:t>
      </w:r>
      <w:r>
        <w:rPr>
          <w:rFonts w:asciiTheme="minorEastAsia" w:hAnsiTheme="minorEastAsia" w:hint="eastAsia"/>
          <w:bCs/>
          <w:sz w:val="24"/>
          <w:szCs w:val="24"/>
        </w:rPr>
        <w:t>后</w:t>
      </w:r>
      <w:r w:rsidRPr="00CB5CF4">
        <w:rPr>
          <w:rFonts w:asciiTheme="minorEastAsia" w:hAnsiTheme="minorEastAsia" w:hint="eastAsia"/>
          <w:bCs/>
          <w:sz w:val="24"/>
          <w:szCs w:val="24"/>
        </w:rPr>
        <w:t>拨付剩余20</w:t>
      </w:r>
      <w:r w:rsidRPr="00CB5CF4">
        <w:rPr>
          <w:rFonts w:asciiTheme="minorEastAsia" w:hAnsiTheme="minorEastAsia"/>
          <w:bCs/>
          <w:sz w:val="24"/>
          <w:szCs w:val="24"/>
        </w:rPr>
        <w:t>%经费</w:t>
      </w:r>
      <w:r w:rsidRPr="00CB5CF4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6E5AB5" w:rsidRPr="006E5AB5" w:rsidRDefault="006E5AB5" w:rsidP="00D82BE0">
      <w:pPr>
        <w:pStyle w:val="a3"/>
        <w:numPr>
          <w:ilvl w:val="0"/>
          <w:numId w:val="8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一般</w:t>
      </w:r>
      <w:r>
        <w:rPr>
          <w:rFonts w:asciiTheme="minorEastAsia" w:hAnsiTheme="minorEastAsia"/>
          <w:bCs/>
          <w:sz w:val="24"/>
          <w:szCs w:val="24"/>
        </w:rPr>
        <w:t>项目立项后，即拨付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/>
          <w:bCs/>
          <w:sz w:val="24"/>
          <w:szCs w:val="24"/>
        </w:rPr>
        <w:t>%经费，中期检查合格后拨付剩余</w:t>
      </w:r>
      <w:r>
        <w:rPr>
          <w:rFonts w:asciiTheme="minorEastAsia" w:hAnsiTheme="minorEastAsia" w:hint="eastAsia"/>
          <w:bCs/>
          <w:sz w:val="24"/>
          <w:szCs w:val="24"/>
        </w:rPr>
        <w:t>50</w:t>
      </w:r>
      <w:r>
        <w:rPr>
          <w:rFonts w:asciiTheme="minorEastAsia" w:hAnsiTheme="minorEastAsia"/>
          <w:bCs/>
          <w:sz w:val="24"/>
          <w:szCs w:val="24"/>
        </w:rPr>
        <w:t>%经费。</w:t>
      </w:r>
    </w:p>
    <w:p w:rsidR="00A95FCE" w:rsidRPr="001C3C5D" w:rsidRDefault="00A95FCE" w:rsidP="0022739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1C3C5D">
        <w:rPr>
          <w:rFonts w:asciiTheme="minorEastAsia" w:hAnsiTheme="minorEastAsia" w:hint="eastAsia"/>
          <w:b/>
          <w:bCs/>
          <w:sz w:val="28"/>
          <w:szCs w:val="28"/>
        </w:rPr>
        <w:t>二</w:t>
      </w:r>
      <w:r w:rsidRPr="001C3C5D">
        <w:rPr>
          <w:rFonts w:asciiTheme="minorEastAsia" w:hAnsiTheme="minorEastAsia"/>
          <w:b/>
          <w:bCs/>
          <w:sz w:val="28"/>
          <w:szCs w:val="28"/>
        </w:rPr>
        <w:t>、项目检查时间</w:t>
      </w:r>
    </w:p>
    <w:p w:rsidR="00435D12" w:rsidRDefault="000220B5" w:rsidP="002273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1. </w:t>
      </w:r>
      <w:r w:rsidR="00435D12">
        <w:rPr>
          <w:rFonts w:asciiTheme="minorEastAsia" w:hAnsiTheme="minorEastAsia" w:hint="eastAsia"/>
          <w:bCs/>
          <w:sz w:val="24"/>
          <w:szCs w:val="24"/>
        </w:rPr>
        <w:t>项目执行周期：研究项目执行起始时间统一安排为每年1月；其中</w:t>
      </w:r>
      <w:r w:rsidR="00550DA7">
        <w:rPr>
          <w:rFonts w:asciiTheme="minorEastAsia" w:hAnsiTheme="minorEastAsia" w:hint="eastAsia"/>
          <w:bCs/>
          <w:sz w:val="24"/>
          <w:szCs w:val="24"/>
        </w:rPr>
        <w:t>重点项目原则执行周期2年，</w:t>
      </w:r>
      <w:r w:rsidR="00435D12">
        <w:rPr>
          <w:rFonts w:asciiTheme="minorEastAsia" w:hAnsiTheme="minorEastAsia" w:hint="eastAsia"/>
          <w:bCs/>
          <w:sz w:val="24"/>
          <w:szCs w:val="24"/>
        </w:rPr>
        <w:t>一般项目原则执行周期</w:t>
      </w:r>
      <w:r w:rsidR="004D0DAA">
        <w:rPr>
          <w:rFonts w:asciiTheme="minorEastAsia" w:hAnsiTheme="minorEastAsia" w:hint="eastAsia"/>
          <w:bCs/>
          <w:sz w:val="24"/>
          <w:szCs w:val="24"/>
        </w:rPr>
        <w:t>1</w:t>
      </w:r>
      <w:r w:rsidR="00550DA7">
        <w:rPr>
          <w:rFonts w:asciiTheme="minorEastAsia" w:hAnsiTheme="minorEastAsia" w:hint="eastAsia"/>
          <w:bCs/>
          <w:sz w:val="24"/>
          <w:szCs w:val="24"/>
        </w:rPr>
        <w:t>年</w:t>
      </w:r>
      <w:r w:rsidR="009A2781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765648" w:rsidRDefault="00435D12" w:rsidP="002273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2. 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中期</w:t>
      </w:r>
      <w:r w:rsidR="00A95FCE" w:rsidRPr="00263598">
        <w:rPr>
          <w:rFonts w:asciiTheme="minorEastAsia" w:hAnsiTheme="minorEastAsia"/>
          <w:bCs/>
          <w:sz w:val="24"/>
          <w:szCs w:val="24"/>
        </w:rPr>
        <w:t>检查时间：重点项目每年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12月份</w:t>
      </w:r>
      <w:r w:rsidR="00A95FCE" w:rsidRPr="00263598">
        <w:rPr>
          <w:rFonts w:asciiTheme="minorEastAsia" w:hAnsiTheme="minorEastAsia"/>
          <w:bCs/>
          <w:sz w:val="24"/>
          <w:szCs w:val="24"/>
        </w:rPr>
        <w:t>，一般项目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每年6月份</w:t>
      </w:r>
      <w:r w:rsidR="00485C06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95FCE" w:rsidRPr="00263598" w:rsidRDefault="0079677B" w:rsidP="0022739D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 w:rsidR="00D86538">
        <w:rPr>
          <w:rFonts w:asciiTheme="minorEastAsia" w:hAnsiTheme="minorEastAsia" w:hint="eastAsia"/>
          <w:bCs/>
          <w:sz w:val="24"/>
          <w:szCs w:val="24"/>
        </w:rPr>
        <w:t xml:space="preserve">. </w:t>
      </w:r>
      <w:r w:rsidR="00863F1F">
        <w:rPr>
          <w:rFonts w:asciiTheme="minorEastAsia" w:hAnsiTheme="minorEastAsia" w:hint="eastAsia"/>
          <w:bCs/>
          <w:sz w:val="24"/>
          <w:szCs w:val="24"/>
        </w:rPr>
        <w:t>结题</w:t>
      </w:r>
      <w:r w:rsidR="00A95FCE" w:rsidRPr="00263598">
        <w:rPr>
          <w:rFonts w:asciiTheme="minorEastAsia" w:hAnsiTheme="minorEastAsia"/>
          <w:bCs/>
          <w:sz w:val="24"/>
          <w:szCs w:val="24"/>
        </w:rPr>
        <w:t>时间：重点项目、一般项目每年</w:t>
      </w:r>
      <w:r w:rsidR="001A4F79">
        <w:rPr>
          <w:rFonts w:asciiTheme="minorEastAsia" w:hAnsiTheme="minorEastAsia" w:hint="eastAsia"/>
          <w:bCs/>
          <w:sz w:val="24"/>
          <w:szCs w:val="24"/>
        </w:rPr>
        <w:t>3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月份</w:t>
      </w:r>
      <w:r w:rsidR="002C1442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95FCE" w:rsidRPr="009A066F" w:rsidRDefault="00A95FCE" w:rsidP="0022739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9A066F">
        <w:rPr>
          <w:rFonts w:asciiTheme="minorEastAsia" w:hAnsiTheme="minorEastAsia" w:hint="eastAsia"/>
          <w:b/>
          <w:bCs/>
          <w:sz w:val="28"/>
          <w:szCs w:val="28"/>
        </w:rPr>
        <w:t>三</w:t>
      </w:r>
      <w:r w:rsidRPr="009A066F">
        <w:rPr>
          <w:rFonts w:asciiTheme="minorEastAsia" w:hAnsiTheme="minorEastAsia"/>
          <w:b/>
          <w:bCs/>
          <w:sz w:val="28"/>
          <w:szCs w:val="28"/>
        </w:rPr>
        <w:t>、</w:t>
      </w:r>
      <w:r w:rsidRPr="009A066F">
        <w:rPr>
          <w:rFonts w:asciiTheme="minorEastAsia" w:hAnsiTheme="minorEastAsia" w:hint="eastAsia"/>
          <w:b/>
          <w:bCs/>
          <w:sz w:val="28"/>
          <w:szCs w:val="28"/>
        </w:rPr>
        <w:t>项目检查方式</w:t>
      </w:r>
    </w:p>
    <w:p w:rsidR="00D546AE" w:rsidRDefault="00D35DA8" w:rsidP="003602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1. </w:t>
      </w:r>
      <w:r w:rsidR="00EA3DFD">
        <w:rPr>
          <w:rFonts w:asciiTheme="minorEastAsia" w:hAnsiTheme="minorEastAsia" w:hint="eastAsia"/>
          <w:bCs/>
          <w:sz w:val="24"/>
          <w:szCs w:val="24"/>
        </w:rPr>
        <w:t>开题报告：</w:t>
      </w:r>
      <w:r w:rsidR="006D09DE">
        <w:rPr>
          <w:rFonts w:asciiTheme="minorEastAsia" w:hAnsiTheme="minorEastAsia" w:hint="eastAsia"/>
          <w:bCs/>
          <w:sz w:val="24"/>
          <w:szCs w:val="24"/>
        </w:rPr>
        <w:t>承担重点项目</w:t>
      </w:r>
      <w:r w:rsidR="00B42AC7">
        <w:rPr>
          <w:rFonts w:asciiTheme="minorEastAsia" w:hAnsiTheme="minorEastAsia" w:hint="eastAsia"/>
          <w:bCs/>
          <w:sz w:val="24"/>
          <w:szCs w:val="24"/>
        </w:rPr>
        <w:t>的乙方需在</w:t>
      </w:r>
      <w:r w:rsidR="00953FEB">
        <w:rPr>
          <w:rFonts w:asciiTheme="minorEastAsia" w:hAnsiTheme="minorEastAsia" w:hint="eastAsia"/>
          <w:bCs/>
          <w:sz w:val="24"/>
          <w:szCs w:val="24"/>
        </w:rPr>
        <w:t>收到</w:t>
      </w:r>
      <w:r w:rsidR="002337B0">
        <w:rPr>
          <w:rFonts w:asciiTheme="minorEastAsia" w:hAnsiTheme="minorEastAsia" w:hint="eastAsia"/>
          <w:bCs/>
          <w:sz w:val="24"/>
          <w:szCs w:val="24"/>
        </w:rPr>
        <w:t>立项拨款</w:t>
      </w:r>
      <w:r w:rsidR="00280F14">
        <w:rPr>
          <w:rFonts w:asciiTheme="minorEastAsia" w:hAnsiTheme="minorEastAsia" w:hint="eastAsia"/>
          <w:bCs/>
          <w:sz w:val="24"/>
          <w:szCs w:val="24"/>
        </w:rPr>
        <w:t>一个月内组织课题开题会</w:t>
      </w:r>
      <w:r w:rsidR="0084313D">
        <w:rPr>
          <w:rFonts w:asciiTheme="minorEastAsia" w:hAnsiTheme="minorEastAsia" w:hint="eastAsia"/>
          <w:bCs/>
          <w:sz w:val="24"/>
          <w:szCs w:val="24"/>
        </w:rPr>
        <w:t>，基金专家委员会至少一位委员参加</w:t>
      </w:r>
      <w:r w:rsidR="00DA744D">
        <w:rPr>
          <w:rFonts w:asciiTheme="minorEastAsia" w:hAnsiTheme="minorEastAsia" w:hint="eastAsia"/>
          <w:bCs/>
          <w:sz w:val="24"/>
          <w:szCs w:val="24"/>
        </w:rPr>
        <w:t>；鼓励承担一般项目</w:t>
      </w:r>
      <w:r w:rsidR="00280F14">
        <w:rPr>
          <w:rFonts w:asciiTheme="minorEastAsia" w:hAnsiTheme="minorEastAsia" w:hint="eastAsia"/>
          <w:bCs/>
          <w:sz w:val="24"/>
          <w:szCs w:val="24"/>
        </w:rPr>
        <w:t>的乙方组织课题开题会</w:t>
      </w:r>
      <w:r w:rsidR="00B728EA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D04D84" w:rsidRDefault="00D546AE" w:rsidP="003602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2. 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中期</w:t>
      </w:r>
      <w:r w:rsidR="00A95FCE" w:rsidRPr="00263598">
        <w:rPr>
          <w:rFonts w:asciiTheme="minorEastAsia" w:hAnsiTheme="minorEastAsia"/>
          <w:bCs/>
          <w:sz w:val="24"/>
          <w:szCs w:val="24"/>
        </w:rPr>
        <w:t>检查：乙方须填报项目进展和经费使用报告</w:t>
      </w:r>
      <w:r w:rsidR="00DC7B5D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3602D6" w:rsidRDefault="00D546AE" w:rsidP="003602D6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</w:t>
      </w:r>
      <w:r w:rsidR="00D04D84">
        <w:rPr>
          <w:rFonts w:asciiTheme="minorEastAsia" w:hAnsiTheme="minorEastAsia" w:hint="eastAsia"/>
          <w:bCs/>
          <w:sz w:val="24"/>
          <w:szCs w:val="24"/>
        </w:rPr>
        <w:t xml:space="preserve">. </w:t>
      </w:r>
      <w:r w:rsidR="004F4725">
        <w:rPr>
          <w:rFonts w:asciiTheme="minorEastAsia" w:hAnsiTheme="minorEastAsia" w:hint="eastAsia"/>
          <w:bCs/>
          <w:sz w:val="24"/>
          <w:szCs w:val="24"/>
        </w:rPr>
        <w:t>结题</w:t>
      </w:r>
      <w:r w:rsidR="004F4725">
        <w:rPr>
          <w:rFonts w:asciiTheme="minorEastAsia" w:hAnsiTheme="minorEastAsia"/>
          <w:bCs/>
          <w:sz w:val="24"/>
          <w:szCs w:val="24"/>
        </w:rPr>
        <w:t>验收</w:t>
      </w:r>
      <w:r w:rsidR="00A95FCE" w:rsidRPr="00263598">
        <w:rPr>
          <w:rFonts w:asciiTheme="minorEastAsia" w:hAnsiTheme="minorEastAsia"/>
          <w:bCs/>
          <w:sz w:val="24"/>
          <w:szCs w:val="24"/>
        </w:rPr>
        <w:t>：乙方须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填写</w:t>
      </w:r>
      <w:r w:rsidR="004F4725">
        <w:rPr>
          <w:rFonts w:asciiTheme="minorEastAsia" w:hAnsiTheme="minorEastAsia"/>
          <w:bCs/>
          <w:sz w:val="24"/>
          <w:szCs w:val="24"/>
        </w:rPr>
        <w:t>项目</w:t>
      </w:r>
      <w:r w:rsidR="004F4725">
        <w:rPr>
          <w:rFonts w:asciiTheme="minorEastAsia" w:hAnsiTheme="minorEastAsia" w:hint="eastAsia"/>
          <w:bCs/>
          <w:sz w:val="24"/>
          <w:szCs w:val="24"/>
        </w:rPr>
        <w:t>结题</w:t>
      </w:r>
      <w:r w:rsidR="004F4725">
        <w:rPr>
          <w:rFonts w:asciiTheme="minorEastAsia" w:hAnsiTheme="minorEastAsia"/>
          <w:bCs/>
          <w:sz w:val="24"/>
          <w:szCs w:val="24"/>
        </w:rPr>
        <w:t>报告</w:t>
      </w:r>
      <w:r w:rsidR="00A95FCE" w:rsidRPr="00263598">
        <w:rPr>
          <w:rFonts w:asciiTheme="minorEastAsia" w:hAnsiTheme="minorEastAsia"/>
          <w:bCs/>
          <w:sz w:val="24"/>
          <w:szCs w:val="24"/>
        </w:rPr>
        <w:t>，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并</w:t>
      </w:r>
      <w:r w:rsidR="00A95FCE" w:rsidRPr="00263598">
        <w:rPr>
          <w:rFonts w:asciiTheme="minorEastAsia" w:hAnsiTheme="minorEastAsia"/>
          <w:bCs/>
          <w:sz w:val="24"/>
          <w:szCs w:val="24"/>
        </w:rPr>
        <w:t>向甲方提交</w:t>
      </w:r>
      <w:r w:rsidR="00A95FCE" w:rsidRPr="00263598">
        <w:rPr>
          <w:rFonts w:asciiTheme="minorEastAsia" w:hAnsiTheme="minorEastAsia" w:hint="eastAsia"/>
          <w:bCs/>
          <w:sz w:val="24"/>
          <w:szCs w:val="24"/>
        </w:rPr>
        <w:t>研究</w:t>
      </w:r>
      <w:r w:rsidR="00A95FCE" w:rsidRPr="00263598">
        <w:rPr>
          <w:rFonts w:asciiTheme="minorEastAsia" w:hAnsiTheme="minorEastAsia"/>
          <w:bCs/>
          <w:sz w:val="24"/>
          <w:szCs w:val="24"/>
        </w:rPr>
        <w:t>成果</w:t>
      </w:r>
      <w:r w:rsidR="00F7688D">
        <w:rPr>
          <w:rFonts w:asciiTheme="minorEastAsia" w:hAnsiTheme="minorEastAsia" w:hint="eastAsia"/>
          <w:bCs/>
          <w:sz w:val="24"/>
          <w:szCs w:val="24"/>
        </w:rPr>
        <w:t>；其中</w:t>
      </w:r>
      <w:r w:rsidR="009745BE">
        <w:rPr>
          <w:rFonts w:asciiTheme="minorEastAsia" w:hAnsiTheme="minorEastAsia" w:hint="eastAsia"/>
          <w:bCs/>
          <w:sz w:val="24"/>
          <w:szCs w:val="24"/>
        </w:rPr>
        <w:t>承担</w:t>
      </w:r>
      <w:r w:rsidR="00B47FAB">
        <w:rPr>
          <w:rFonts w:asciiTheme="minorEastAsia" w:hAnsiTheme="minorEastAsia" w:hint="eastAsia"/>
          <w:bCs/>
          <w:sz w:val="24"/>
          <w:szCs w:val="24"/>
        </w:rPr>
        <w:t>重点项目</w:t>
      </w:r>
      <w:r w:rsidR="009745BE">
        <w:rPr>
          <w:rFonts w:asciiTheme="minorEastAsia" w:hAnsiTheme="minorEastAsia" w:hint="eastAsia"/>
          <w:bCs/>
          <w:sz w:val="24"/>
          <w:szCs w:val="24"/>
        </w:rPr>
        <w:t>的乙方</w:t>
      </w:r>
      <w:r w:rsidR="00431416">
        <w:rPr>
          <w:rFonts w:asciiTheme="minorEastAsia" w:hAnsiTheme="minorEastAsia" w:hint="eastAsia"/>
          <w:bCs/>
          <w:sz w:val="24"/>
          <w:szCs w:val="24"/>
        </w:rPr>
        <w:t>须</w:t>
      </w:r>
      <w:r w:rsidR="00EA54B6">
        <w:rPr>
          <w:rFonts w:asciiTheme="minorEastAsia" w:hAnsiTheme="minorEastAsia" w:hint="eastAsia"/>
          <w:bCs/>
          <w:sz w:val="24"/>
          <w:szCs w:val="24"/>
        </w:rPr>
        <w:t>组织</w:t>
      </w:r>
      <w:r w:rsidR="00827586">
        <w:rPr>
          <w:rFonts w:asciiTheme="minorEastAsia" w:hAnsiTheme="minorEastAsia" w:hint="eastAsia"/>
          <w:bCs/>
          <w:sz w:val="24"/>
          <w:szCs w:val="24"/>
        </w:rPr>
        <w:t>课题结题会</w:t>
      </w:r>
      <w:r w:rsidR="002A6F0D">
        <w:rPr>
          <w:rFonts w:asciiTheme="minorEastAsia" w:hAnsiTheme="minorEastAsia" w:hint="eastAsia"/>
          <w:bCs/>
          <w:sz w:val="24"/>
          <w:szCs w:val="24"/>
        </w:rPr>
        <w:t>，</w:t>
      </w:r>
      <w:r w:rsidR="00EB649C">
        <w:rPr>
          <w:rFonts w:asciiTheme="minorEastAsia" w:hAnsiTheme="minorEastAsia" w:hint="eastAsia"/>
          <w:bCs/>
          <w:sz w:val="24"/>
          <w:szCs w:val="24"/>
        </w:rPr>
        <w:t>基金专家委员会至少一位委员参加</w:t>
      </w:r>
      <w:r w:rsidR="00983F4F">
        <w:rPr>
          <w:rFonts w:asciiTheme="minorEastAsia" w:hAnsiTheme="minorEastAsia" w:hint="eastAsia"/>
          <w:bCs/>
          <w:sz w:val="24"/>
          <w:szCs w:val="24"/>
        </w:rPr>
        <w:t>；鼓励承担一般项目</w:t>
      </w:r>
      <w:r w:rsidR="00485831">
        <w:rPr>
          <w:rFonts w:asciiTheme="minorEastAsia" w:hAnsiTheme="minorEastAsia" w:hint="eastAsia"/>
          <w:bCs/>
          <w:sz w:val="24"/>
          <w:szCs w:val="24"/>
        </w:rPr>
        <w:t>的乙方组织课题</w:t>
      </w:r>
      <w:r w:rsidR="00092A13">
        <w:rPr>
          <w:rFonts w:asciiTheme="minorEastAsia" w:hAnsiTheme="minorEastAsia" w:hint="eastAsia"/>
          <w:bCs/>
          <w:sz w:val="24"/>
          <w:szCs w:val="24"/>
        </w:rPr>
        <w:t>结题会</w:t>
      </w:r>
      <w:r w:rsidR="000242EE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A445BB" w:rsidRDefault="00263598" w:rsidP="00A445BB">
      <w:pPr>
        <w:spacing w:line="360" w:lineRule="auto"/>
        <w:ind w:firstLineChars="200" w:firstLine="480"/>
        <w:rPr>
          <w:rFonts w:asciiTheme="minorEastAsia" w:hAnsiTheme="minorEastAsia"/>
          <w:bCs/>
          <w:sz w:val="24"/>
          <w:szCs w:val="24"/>
        </w:rPr>
      </w:pPr>
      <w:r w:rsidRPr="00F04797">
        <w:rPr>
          <w:rFonts w:asciiTheme="minorEastAsia" w:hAnsiTheme="minorEastAsia" w:hint="eastAsia"/>
          <w:bCs/>
          <w:sz w:val="24"/>
          <w:szCs w:val="24"/>
        </w:rPr>
        <w:t>具体要求</w:t>
      </w:r>
      <w:r w:rsidRPr="00F04797">
        <w:rPr>
          <w:rFonts w:asciiTheme="minorEastAsia" w:hAnsiTheme="minorEastAsia"/>
          <w:bCs/>
          <w:sz w:val="24"/>
          <w:szCs w:val="24"/>
        </w:rPr>
        <w:t>：</w:t>
      </w:r>
      <w:r w:rsidRPr="00F04797">
        <w:rPr>
          <w:rFonts w:asciiTheme="minorEastAsia" w:hAnsiTheme="minorEastAsia" w:hint="eastAsia"/>
          <w:bCs/>
          <w:sz w:val="24"/>
          <w:szCs w:val="24"/>
        </w:rPr>
        <w:t>凡受中心资助的研究课题，结题时除向中心提交简短的结题报告（1000-</w:t>
      </w:r>
      <w:r w:rsidRPr="00F04797">
        <w:rPr>
          <w:rFonts w:asciiTheme="minorEastAsia" w:hAnsiTheme="minorEastAsia"/>
          <w:bCs/>
          <w:sz w:val="24"/>
          <w:szCs w:val="24"/>
        </w:rPr>
        <w:t>2000</w:t>
      </w:r>
      <w:r w:rsidRPr="00F04797">
        <w:rPr>
          <w:rFonts w:asciiTheme="minorEastAsia" w:hAnsiTheme="minorEastAsia" w:hint="eastAsia"/>
          <w:bCs/>
          <w:sz w:val="24"/>
          <w:szCs w:val="24"/>
        </w:rPr>
        <w:t>字，中英文）外，成果出版成专著的应向中心提交成果样书5册存档。成果发表成系列论文的，应详列论文题目、发表刊物、发表时间、所在页码。专著出版或论文发表时均应用中文或英文注明“本研究得到教育部在线教育研究中心在线教育研究基金（全通教育）xxxx年重点（一般）课题资助”字样</w:t>
      </w:r>
      <w:r w:rsidRPr="00F04797">
        <w:rPr>
          <w:rFonts w:asciiTheme="minorEastAsia" w:hAnsiTheme="minorEastAsia"/>
          <w:bCs/>
          <w:sz w:val="24"/>
          <w:szCs w:val="24"/>
        </w:rPr>
        <w:t>和项目批准号</w:t>
      </w:r>
      <w:r w:rsidRPr="00F04797">
        <w:rPr>
          <w:rFonts w:asciiTheme="minorEastAsia" w:hAnsiTheme="minorEastAsia" w:hint="eastAsia"/>
          <w:bCs/>
          <w:sz w:val="24"/>
          <w:szCs w:val="24"/>
        </w:rPr>
        <w:t>（</w:t>
      </w:r>
      <w:r w:rsidR="007C6C7B" w:rsidRPr="00F04797">
        <w:rPr>
          <w:rFonts w:asciiTheme="minorEastAsia" w:hAnsiTheme="minorEastAsia" w:hint="eastAsia"/>
          <w:bCs/>
          <w:sz w:val="24"/>
          <w:szCs w:val="24"/>
        </w:rPr>
        <w:t>如</w:t>
      </w:r>
      <w:r w:rsidRPr="00F04797">
        <w:rPr>
          <w:rFonts w:asciiTheme="minorEastAsia" w:hAnsiTheme="minorEastAsia" w:hint="eastAsia"/>
          <w:bCs/>
          <w:sz w:val="24"/>
          <w:szCs w:val="24"/>
        </w:rPr>
        <w:t>未</w:t>
      </w:r>
      <w:r w:rsidR="00AD7BF2">
        <w:rPr>
          <w:rFonts w:asciiTheme="minorEastAsia" w:hAnsiTheme="minorEastAsia"/>
          <w:bCs/>
          <w:sz w:val="24"/>
          <w:szCs w:val="24"/>
        </w:rPr>
        <w:t>标明</w:t>
      </w:r>
      <w:r w:rsidR="00535399">
        <w:rPr>
          <w:rFonts w:asciiTheme="minorEastAsia" w:hAnsiTheme="minorEastAsia" w:hint="eastAsia"/>
          <w:bCs/>
          <w:sz w:val="24"/>
          <w:szCs w:val="24"/>
        </w:rPr>
        <w:t>则</w:t>
      </w:r>
      <w:r w:rsidR="00AD7BF2">
        <w:rPr>
          <w:rFonts w:asciiTheme="minorEastAsia" w:hAnsiTheme="minorEastAsia"/>
          <w:bCs/>
          <w:sz w:val="24"/>
          <w:szCs w:val="24"/>
        </w:rPr>
        <w:t>不</w:t>
      </w:r>
      <w:r w:rsidR="00AD7BF2">
        <w:rPr>
          <w:rFonts w:asciiTheme="minorEastAsia" w:hAnsiTheme="minorEastAsia" w:hint="eastAsia"/>
          <w:bCs/>
          <w:sz w:val="24"/>
          <w:szCs w:val="24"/>
        </w:rPr>
        <w:t>作为</w:t>
      </w:r>
      <w:r w:rsidR="00575408">
        <w:rPr>
          <w:rFonts w:asciiTheme="minorEastAsia" w:hAnsiTheme="minorEastAsia" w:hint="eastAsia"/>
          <w:bCs/>
          <w:sz w:val="24"/>
          <w:szCs w:val="24"/>
        </w:rPr>
        <w:t>该课题</w:t>
      </w:r>
      <w:r w:rsidRPr="00F04797">
        <w:rPr>
          <w:rFonts w:asciiTheme="minorEastAsia" w:hAnsiTheme="minorEastAsia"/>
          <w:bCs/>
          <w:sz w:val="24"/>
          <w:szCs w:val="24"/>
        </w:rPr>
        <w:t>研究成果</w:t>
      </w:r>
      <w:r w:rsidRPr="00F04797">
        <w:rPr>
          <w:rFonts w:asciiTheme="minorEastAsia" w:hAnsiTheme="minorEastAsia" w:hint="eastAsia"/>
          <w:bCs/>
          <w:sz w:val="24"/>
          <w:szCs w:val="24"/>
        </w:rPr>
        <w:t>）</w:t>
      </w:r>
      <w:r w:rsidR="007C6C7B" w:rsidRPr="00F04797">
        <w:rPr>
          <w:rFonts w:asciiTheme="minorEastAsia" w:hAnsiTheme="minorEastAsia" w:hint="eastAsia"/>
          <w:bCs/>
          <w:sz w:val="24"/>
          <w:szCs w:val="24"/>
        </w:rPr>
        <w:t>。</w:t>
      </w:r>
    </w:p>
    <w:p w:rsidR="00274930" w:rsidRDefault="00274930" w:rsidP="0022739D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四</w:t>
      </w:r>
      <w:r w:rsidRPr="009A066F">
        <w:rPr>
          <w:rFonts w:asciiTheme="minorEastAsia" w:hAnsiTheme="minorEastAsia"/>
          <w:b/>
          <w:bCs/>
          <w:sz w:val="28"/>
          <w:szCs w:val="28"/>
        </w:rPr>
        <w:t>、</w:t>
      </w:r>
      <w:r w:rsidRPr="009A066F">
        <w:rPr>
          <w:rFonts w:asciiTheme="minorEastAsia" w:hAnsiTheme="minorEastAsia" w:hint="eastAsia"/>
          <w:b/>
          <w:bCs/>
          <w:sz w:val="28"/>
          <w:szCs w:val="28"/>
        </w:rPr>
        <w:t>项目</w:t>
      </w:r>
      <w:r w:rsidR="00E45B30">
        <w:rPr>
          <w:rFonts w:asciiTheme="minorEastAsia" w:hAnsiTheme="minorEastAsia" w:hint="eastAsia"/>
          <w:b/>
          <w:bCs/>
          <w:sz w:val="28"/>
          <w:szCs w:val="28"/>
        </w:rPr>
        <w:t>考核措施</w:t>
      </w:r>
    </w:p>
    <w:p w:rsidR="000C192B" w:rsidRPr="000727BE" w:rsidRDefault="000C192B" w:rsidP="0057139C">
      <w:pPr>
        <w:widowControl/>
        <w:kinsoku w:val="0"/>
        <w:overflowPunct w:val="0"/>
        <w:spacing w:line="360" w:lineRule="auto"/>
        <w:ind w:firstLineChars="200" w:firstLine="480"/>
        <w:jc w:val="left"/>
        <w:textAlignment w:val="baseline"/>
        <w:rPr>
          <w:rFonts w:asciiTheme="minorEastAsia" w:hAnsiTheme="minorEastAsia"/>
          <w:bCs/>
          <w:sz w:val="24"/>
          <w:szCs w:val="24"/>
        </w:rPr>
      </w:pPr>
      <w:r w:rsidRPr="000C192B">
        <w:rPr>
          <w:rFonts w:asciiTheme="minorEastAsia" w:hAnsiTheme="minorEastAsia" w:hint="eastAsia"/>
          <w:bCs/>
          <w:sz w:val="24"/>
          <w:szCs w:val="24"/>
        </w:rPr>
        <w:lastRenderedPageBreak/>
        <w:t>因乙方的原因导致研究工作未能按期完成，或者研究成果未能达到任务书约定考核指标的，甲方有权停拨、追缴部分</w:t>
      </w:r>
      <w:r w:rsidR="00371789">
        <w:rPr>
          <w:rFonts w:asciiTheme="minorEastAsia" w:hAnsiTheme="minorEastAsia" w:hint="eastAsia"/>
          <w:bCs/>
          <w:sz w:val="24"/>
          <w:szCs w:val="24"/>
        </w:rPr>
        <w:t>乃至</w:t>
      </w:r>
      <w:r w:rsidR="00B12658">
        <w:rPr>
          <w:rFonts w:asciiTheme="minorEastAsia" w:hAnsiTheme="minorEastAsia" w:hint="eastAsia"/>
          <w:bCs/>
          <w:sz w:val="24"/>
          <w:szCs w:val="24"/>
        </w:rPr>
        <w:t>全部</w:t>
      </w:r>
      <w:r w:rsidRPr="000C192B">
        <w:rPr>
          <w:rFonts w:asciiTheme="minorEastAsia" w:hAnsiTheme="minorEastAsia" w:hint="eastAsia"/>
          <w:bCs/>
          <w:sz w:val="24"/>
          <w:szCs w:val="24"/>
        </w:rPr>
        <w:t>经费</w:t>
      </w:r>
      <w:r w:rsidR="00471677">
        <w:rPr>
          <w:rFonts w:asciiTheme="minorEastAsia" w:hAnsiTheme="minorEastAsia" w:hint="eastAsia"/>
          <w:bCs/>
          <w:sz w:val="24"/>
          <w:szCs w:val="24"/>
        </w:rPr>
        <w:t>，其中：</w:t>
      </w:r>
    </w:p>
    <w:p w:rsidR="001C1480" w:rsidRPr="00DB39FC" w:rsidRDefault="00A751E5" w:rsidP="0022739D">
      <w:pPr>
        <w:widowControl/>
        <w:kinsoku w:val="0"/>
        <w:overflowPunct w:val="0"/>
        <w:spacing w:line="360" w:lineRule="auto"/>
        <w:jc w:val="left"/>
        <w:textAlignment w:val="baseline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1. 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中期检查：不合格项目停拨经费，并</w:t>
      </w:r>
      <w:r w:rsidR="00FA4EC4">
        <w:rPr>
          <w:rFonts w:asciiTheme="minorEastAsia" w:hAnsiTheme="minorEastAsia" w:hint="eastAsia"/>
          <w:bCs/>
          <w:sz w:val="24"/>
          <w:szCs w:val="24"/>
        </w:rPr>
        <w:t>追缴立项拨付50%</w:t>
      </w:r>
      <w:r w:rsidR="009D629B">
        <w:rPr>
          <w:rFonts w:asciiTheme="minorEastAsia" w:hAnsiTheme="minorEastAsia" w:hint="eastAsia"/>
          <w:bCs/>
          <w:sz w:val="24"/>
          <w:szCs w:val="24"/>
        </w:rPr>
        <w:t>经费；</w:t>
      </w:r>
      <w:r w:rsidR="00545FF5">
        <w:rPr>
          <w:rFonts w:asciiTheme="minorEastAsia" w:hAnsiTheme="minorEastAsia" w:hint="eastAsia"/>
          <w:bCs/>
          <w:sz w:val="24"/>
          <w:szCs w:val="24"/>
        </w:rPr>
        <w:t>并</w:t>
      </w:r>
      <w:r w:rsidR="00B023C6">
        <w:rPr>
          <w:rFonts w:asciiTheme="minorEastAsia" w:hAnsiTheme="minorEastAsia" w:hint="eastAsia"/>
          <w:bCs/>
          <w:sz w:val="24"/>
          <w:szCs w:val="24"/>
        </w:rPr>
        <w:t>将检查结果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于中心网站公示</w:t>
      </w:r>
      <w:r w:rsidR="0016152E">
        <w:rPr>
          <w:rFonts w:asciiTheme="minorEastAsia" w:hAnsiTheme="minorEastAsia" w:hint="eastAsia"/>
          <w:bCs/>
          <w:sz w:val="24"/>
          <w:szCs w:val="24"/>
        </w:rPr>
        <w:t>并书面通知乙方所在单位科研管理部门</w:t>
      </w:r>
      <w:r w:rsidR="009D629B">
        <w:rPr>
          <w:rFonts w:asciiTheme="minorEastAsia" w:hAnsiTheme="minorEastAsia" w:hint="eastAsia"/>
          <w:bCs/>
          <w:sz w:val="24"/>
          <w:szCs w:val="24"/>
        </w:rPr>
        <w:t>；</w:t>
      </w:r>
      <w:r w:rsidR="00144C0E">
        <w:rPr>
          <w:rFonts w:asciiTheme="minorEastAsia" w:hAnsiTheme="minorEastAsia" w:hint="eastAsia"/>
          <w:bCs/>
          <w:sz w:val="24"/>
          <w:szCs w:val="24"/>
        </w:rPr>
        <w:t>申请人三年内不得</w:t>
      </w:r>
      <w:r w:rsidR="0036735D">
        <w:rPr>
          <w:rFonts w:asciiTheme="minorEastAsia" w:hAnsiTheme="minorEastAsia" w:hint="eastAsia"/>
          <w:bCs/>
          <w:sz w:val="24"/>
          <w:szCs w:val="24"/>
        </w:rPr>
        <w:t>申请中心课题，申请人所在</w:t>
      </w:r>
      <w:r w:rsidR="00B525D4">
        <w:rPr>
          <w:rFonts w:asciiTheme="minorEastAsia" w:hAnsiTheme="minorEastAsia" w:hint="eastAsia"/>
          <w:bCs/>
          <w:sz w:val="24"/>
          <w:szCs w:val="24"/>
        </w:rPr>
        <w:t>法人</w:t>
      </w:r>
      <w:r w:rsidR="0036735D">
        <w:rPr>
          <w:rFonts w:asciiTheme="minorEastAsia" w:hAnsiTheme="minorEastAsia" w:hint="eastAsia"/>
          <w:bCs/>
          <w:sz w:val="24"/>
          <w:szCs w:val="24"/>
        </w:rPr>
        <w:t>单位</w:t>
      </w:r>
      <w:r w:rsidR="0063364A">
        <w:rPr>
          <w:rFonts w:asciiTheme="minorEastAsia" w:hAnsiTheme="minorEastAsia" w:hint="eastAsia"/>
          <w:bCs/>
          <w:sz w:val="24"/>
          <w:szCs w:val="24"/>
        </w:rPr>
        <w:t>其他申请者</w:t>
      </w:r>
      <w:r w:rsidR="0036735D">
        <w:rPr>
          <w:rFonts w:asciiTheme="minorEastAsia" w:hAnsiTheme="minorEastAsia" w:hint="eastAsia"/>
          <w:bCs/>
          <w:sz w:val="24"/>
          <w:szCs w:val="24"/>
        </w:rPr>
        <w:t>一年内</w:t>
      </w:r>
      <w:r w:rsidR="00136242">
        <w:rPr>
          <w:rFonts w:asciiTheme="minorEastAsia" w:hAnsiTheme="minorEastAsia" w:hint="eastAsia"/>
          <w:bCs/>
          <w:sz w:val="24"/>
          <w:szCs w:val="24"/>
        </w:rPr>
        <w:t>不得</w:t>
      </w:r>
      <w:r w:rsidR="005D17AD">
        <w:rPr>
          <w:rFonts w:asciiTheme="minorEastAsia" w:hAnsiTheme="minorEastAsia" w:hint="eastAsia"/>
          <w:bCs/>
          <w:sz w:val="24"/>
          <w:szCs w:val="24"/>
        </w:rPr>
        <w:t>申请中心课题。</w:t>
      </w:r>
    </w:p>
    <w:p w:rsidR="00DB39FC" w:rsidRDefault="00EA1022" w:rsidP="0022739D">
      <w:pPr>
        <w:widowControl/>
        <w:kinsoku w:val="0"/>
        <w:overflowPunct w:val="0"/>
        <w:spacing w:line="360" w:lineRule="auto"/>
        <w:jc w:val="left"/>
        <w:textAlignment w:val="baseline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2. </w:t>
      </w:r>
      <w:r w:rsidR="00472AF5">
        <w:rPr>
          <w:rFonts w:asciiTheme="minorEastAsia" w:hAnsiTheme="minorEastAsia" w:hint="eastAsia"/>
          <w:bCs/>
          <w:sz w:val="24"/>
          <w:szCs w:val="24"/>
        </w:rPr>
        <w:t>结题</w:t>
      </w:r>
      <w:r w:rsidR="00472AF5">
        <w:rPr>
          <w:rFonts w:asciiTheme="minorEastAsia" w:hAnsiTheme="minorEastAsia"/>
          <w:bCs/>
          <w:sz w:val="24"/>
          <w:szCs w:val="24"/>
        </w:rPr>
        <w:t>验收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：不合格项目停拨</w:t>
      </w:r>
      <w:r w:rsidR="00DB39FC" w:rsidRPr="00DB39FC">
        <w:rPr>
          <w:rFonts w:asciiTheme="minorEastAsia" w:hAnsiTheme="minorEastAsia"/>
          <w:bCs/>
          <w:sz w:val="24"/>
          <w:szCs w:val="24"/>
        </w:rPr>
        <w:t>20%</w:t>
      </w:r>
      <w:r w:rsidR="00DA714D">
        <w:rPr>
          <w:rFonts w:asciiTheme="minorEastAsia" w:hAnsiTheme="minorEastAsia" w:hint="eastAsia"/>
          <w:bCs/>
          <w:sz w:val="24"/>
          <w:szCs w:val="24"/>
        </w:rPr>
        <w:t>经费；</w:t>
      </w:r>
      <w:r w:rsidR="004E2FAD">
        <w:rPr>
          <w:rFonts w:asciiTheme="minorEastAsia" w:hAnsiTheme="minorEastAsia" w:hint="eastAsia"/>
          <w:bCs/>
          <w:sz w:val="24"/>
          <w:szCs w:val="24"/>
        </w:rPr>
        <w:t>并将验收结果于</w:t>
      </w:r>
      <w:r w:rsidR="000B3723">
        <w:rPr>
          <w:rFonts w:asciiTheme="minorEastAsia" w:hAnsiTheme="minorEastAsia" w:hint="eastAsia"/>
          <w:bCs/>
          <w:sz w:val="24"/>
          <w:szCs w:val="24"/>
        </w:rPr>
        <w:t>中心网站公示</w:t>
      </w:r>
      <w:r w:rsidR="004A5E3A">
        <w:rPr>
          <w:rFonts w:asciiTheme="minorEastAsia" w:hAnsiTheme="minorEastAsia" w:hint="eastAsia"/>
          <w:bCs/>
          <w:sz w:val="24"/>
          <w:szCs w:val="24"/>
        </w:rPr>
        <w:t>并书面通知乙方所在单位科研管理部门</w:t>
      </w:r>
      <w:r w:rsidR="000B3723">
        <w:rPr>
          <w:rFonts w:asciiTheme="minorEastAsia" w:hAnsiTheme="minorEastAsia" w:hint="eastAsia"/>
          <w:bCs/>
          <w:sz w:val="24"/>
          <w:szCs w:val="24"/>
        </w:rPr>
        <w:t>；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申请人</w:t>
      </w:r>
      <w:r w:rsidR="00CD6DE9">
        <w:rPr>
          <w:rFonts w:asciiTheme="minorEastAsia" w:hAnsiTheme="minorEastAsia" w:hint="eastAsia"/>
          <w:bCs/>
          <w:sz w:val="24"/>
          <w:szCs w:val="24"/>
        </w:rPr>
        <w:t>三</w:t>
      </w:r>
      <w:r w:rsidR="002F0543">
        <w:rPr>
          <w:rFonts w:asciiTheme="minorEastAsia" w:hAnsiTheme="minorEastAsia" w:hint="eastAsia"/>
          <w:bCs/>
          <w:sz w:val="24"/>
          <w:szCs w:val="24"/>
        </w:rPr>
        <w:t>年</w:t>
      </w:r>
      <w:r w:rsidR="00144C0E">
        <w:rPr>
          <w:rFonts w:asciiTheme="minorEastAsia" w:hAnsiTheme="minorEastAsia" w:hint="eastAsia"/>
          <w:bCs/>
          <w:sz w:val="24"/>
          <w:szCs w:val="24"/>
        </w:rPr>
        <w:t>内不得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申请中心课题，申请人所在</w:t>
      </w:r>
      <w:r w:rsidR="00183744">
        <w:rPr>
          <w:rFonts w:asciiTheme="minorEastAsia" w:hAnsiTheme="minorEastAsia" w:hint="eastAsia"/>
          <w:bCs/>
          <w:sz w:val="24"/>
          <w:szCs w:val="24"/>
        </w:rPr>
        <w:t>法人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单位</w:t>
      </w:r>
      <w:r w:rsidR="004F7E30">
        <w:rPr>
          <w:rFonts w:asciiTheme="minorEastAsia" w:hAnsiTheme="minorEastAsia" w:hint="eastAsia"/>
          <w:bCs/>
          <w:sz w:val="24"/>
          <w:szCs w:val="24"/>
        </w:rPr>
        <w:t>其他申请者</w:t>
      </w:r>
      <w:r w:rsidR="00E411AF">
        <w:rPr>
          <w:rFonts w:asciiTheme="minorEastAsia" w:hAnsiTheme="minorEastAsia" w:hint="eastAsia"/>
          <w:bCs/>
          <w:sz w:val="24"/>
          <w:szCs w:val="24"/>
        </w:rPr>
        <w:t>一年内</w:t>
      </w:r>
      <w:r w:rsidR="00B23E4B">
        <w:rPr>
          <w:rFonts w:asciiTheme="minorEastAsia" w:hAnsiTheme="minorEastAsia" w:hint="eastAsia"/>
          <w:bCs/>
          <w:sz w:val="24"/>
          <w:szCs w:val="24"/>
        </w:rPr>
        <w:t>不得</w:t>
      </w:r>
      <w:r w:rsidR="00DB39FC" w:rsidRPr="00DB39FC">
        <w:rPr>
          <w:rFonts w:asciiTheme="minorEastAsia" w:hAnsiTheme="minorEastAsia" w:hint="eastAsia"/>
          <w:bCs/>
          <w:sz w:val="24"/>
          <w:szCs w:val="24"/>
        </w:rPr>
        <w:t>申请中心课题。</w:t>
      </w:r>
    </w:p>
    <w:p w:rsidR="00534130" w:rsidRPr="004E38FB" w:rsidRDefault="00534130" w:rsidP="0053413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 w:rsidRPr="004E38FB">
        <w:rPr>
          <w:rFonts w:asciiTheme="minorEastAsia" w:hAnsiTheme="minorEastAsia" w:hint="eastAsia"/>
          <w:b/>
          <w:bCs/>
          <w:sz w:val="28"/>
          <w:szCs w:val="28"/>
        </w:rPr>
        <w:t>五</w:t>
      </w:r>
      <w:r w:rsidRPr="004E38FB">
        <w:rPr>
          <w:rFonts w:asciiTheme="minorEastAsia" w:hAnsiTheme="minorEastAsia"/>
          <w:b/>
          <w:bCs/>
          <w:sz w:val="28"/>
          <w:szCs w:val="28"/>
        </w:rPr>
        <w:t>、</w:t>
      </w:r>
      <w:r w:rsidR="00577567" w:rsidRPr="004E38FB">
        <w:rPr>
          <w:rFonts w:asciiTheme="minorEastAsia" w:hAnsiTheme="minorEastAsia" w:hint="eastAsia"/>
          <w:b/>
          <w:bCs/>
          <w:sz w:val="28"/>
          <w:szCs w:val="28"/>
        </w:rPr>
        <w:t>本办法自2016年</w:t>
      </w:r>
      <w:r w:rsidR="007211A4">
        <w:rPr>
          <w:rFonts w:asciiTheme="minorEastAsia" w:hAnsiTheme="minorEastAsia" w:hint="eastAsia"/>
          <w:b/>
          <w:bCs/>
          <w:sz w:val="28"/>
          <w:szCs w:val="28"/>
        </w:rPr>
        <w:t>7</w:t>
      </w:r>
      <w:r w:rsidR="00577567" w:rsidRPr="004E38FB">
        <w:rPr>
          <w:rFonts w:asciiTheme="minorEastAsia" w:hAnsiTheme="minorEastAsia" w:hint="eastAsia"/>
          <w:b/>
          <w:bCs/>
          <w:sz w:val="28"/>
          <w:szCs w:val="28"/>
        </w:rPr>
        <w:t>月</w:t>
      </w:r>
      <w:r w:rsidR="007211A4">
        <w:rPr>
          <w:rFonts w:asciiTheme="minorEastAsia" w:hAnsiTheme="minorEastAsia"/>
          <w:b/>
          <w:bCs/>
          <w:sz w:val="28"/>
          <w:szCs w:val="28"/>
        </w:rPr>
        <w:t>1</w:t>
      </w:r>
      <w:r w:rsidR="00577567" w:rsidRPr="004E38FB">
        <w:rPr>
          <w:rFonts w:asciiTheme="minorEastAsia" w:hAnsiTheme="minorEastAsia" w:hint="eastAsia"/>
          <w:b/>
          <w:bCs/>
          <w:sz w:val="28"/>
          <w:szCs w:val="28"/>
        </w:rPr>
        <w:t>日开始试行。</w:t>
      </w:r>
    </w:p>
    <w:p w:rsidR="00DB39FC" w:rsidRDefault="00DB39FC" w:rsidP="0022739D">
      <w:pPr>
        <w:widowControl/>
        <w:kinsoku w:val="0"/>
        <w:overflowPunct w:val="0"/>
        <w:spacing w:line="360" w:lineRule="auto"/>
        <w:jc w:val="left"/>
        <w:textAlignment w:val="baseline"/>
        <w:rPr>
          <w:rFonts w:asciiTheme="minorEastAsia" w:hAnsiTheme="minorEastAsia"/>
          <w:bCs/>
          <w:sz w:val="24"/>
          <w:szCs w:val="24"/>
        </w:rPr>
      </w:pPr>
    </w:p>
    <w:p w:rsidR="00BA110A" w:rsidRPr="00D0687E" w:rsidRDefault="0082060F" w:rsidP="00D0687E">
      <w:pPr>
        <w:widowControl/>
        <w:kinsoku w:val="0"/>
        <w:overflowPunct w:val="0"/>
        <w:spacing w:line="360" w:lineRule="auto"/>
        <w:jc w:val="right"/>
        <w:textAlignment w:val="baseline"/>
        <w:rPr>
          <w:rFonts w:asciiTheme="minorEastAsia" w:hAnsiTheme="minorEastAsia"/>
          <w:bCs/>
          <w:sz w:val="28"/>
          <w:szCs w:val="24"/>
        </w:rPr>
      </w:pPr>
      <w:r w:rsidRPr="00D0687E">
        <w:rPr>
          <w:rFonts w:asciiTheme="minorEastAsia" w:hAnsiTheme="minorEastAsia" w:hint="eastAsia"/>
          <w:bCs/>
          <w:sz w:val="28"/>
          <w:szCs w:val="24"/>
        </w:rPr>
        <w:t>教育部在线教育研究中心</w:t>
      </w:r>
    </w:p>
    <w:p w:rsidR="001C1480" w:rsidRPr="00D0687E" w:rsidRDefault="000E1ECB" w:rsidP="00AD23CE">
      <w:pPr>
        <w:spacing w:line="360" w:lineRule="auto"/>
        <w:jc w:val="right"/>
        <w:rPr>
          <w:rFonts w:asciiTheme="minorEastAsia" w:hAnsiTheme="minorEastAsia"/>
          <w:bCs/>
          <w:sz w:val="28"/>
          <w:szCs w:val="24"/>
        </w:rPr>
      </w:pPr>
      <w:r w:rsidRPr="00D0687E">
        <w:rPr>
          <w:rFonts w:asciiTheme="minorEastAsia" w:hAnsiTheme="minorEastAsia" w:hint="eastAsia"/>
          <w:bCs/>
          <w:sz w:val="28"/>
          <w:szCs w:val="24"/>
        </w:rPr>
        <w:t>二</w:t>
      </w:r>
      <w:r w:rsidRPr="00D0687E">
        <w:rPr>
          <w:rFonts w:ascii="微软雅黑" w:eastAsia="微软雅黑" w:hAnsi="微软雅黑" w:hint="eastAsia"/>
          <w:bCs/>
          <w:sz w:val="28"/>
          <w:szCs w:val="24"/>
        </w:rPr>
        <w:t>〇</w:t>
      </w:r>
      <w:r w:rsidR="00603351">
        <w:rPr>
          <w:rFonts w:asciiTheme="minorEastAsia" w:hAnsiTheme="minorEastAsia" w:hint="eastAsia"/>
          <w:bCs/>
          <w:sz w:val="28"/>
          <w:szCs w:val="24"/>
        </w:rPr>
        <w:t>一六年七</w:t>
      </w:r>
      <w:r w:rsidRPr="00D0687E">
        <w:rPr>
          <w:rFonts w:asciiTheme="minorEastAsia" w:hAnsiTheme="minorEastAsia" w:hint="eastAsia"/>
          <w:bCs/>
          <w:sz w:val="28"/>
          <w:szCs w:val="24"/>
        </w:rPr>
        <w:t>月</w:t>
      </w:r>
      <w:r w:rsidR="00BB3140">
        <w:rPr>
          <w:rFonts w:asciiTheme="minorEastAsia" w:hAnsiTheme="minorEastAsia" w:hint="eastAsia"/>
          <w:bCs/>
          <w:sz w:val="28"/>
          <w:szCs w:val="24"/>
        </w:rPr>
        <w:t>一</w:t>
      </w:r>
      <w:r w:rsidRPr="00D0687E">
        <w:rPr>
          <w:rFonts w:asciiTheme="minorEastAsia" w:hAnsiTheme="minorEastAsia" w:hint="eastAsia"/>
          <w:bCs/>
          <w:sz w:val="28"/>
          <w:szCs w:val="24"/>
        </w:rPr>
        <w:t>日</w:t>
      </w:r>
      <w:bookmarkStart w:id="0" w:name="_GoBack"/>
      <w:bookmarkEnd w:id="0"/>
    </w:p>
    <w:p w:rsidR="001C1480" w:rsidRPr="001C1480" w:rsidRDefault="001C1480" w:rsidP="00274930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p w:rsidR="00173242" w:rsidRPr="00173242" w:rsidRDefault="00173242" w:rsidP="00173242">
      <w:pPr>
        <w:rPr>
          <w:sz w:val="24"/>
          <w:szCs w:val="24"/>
        </w:rPr>
      </w:pPr>
    </w:p>
    <w:sectPr w:rsidR="00173242" w:rsidRPr="00173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33E" w:rsidRDefault="0068533E" w:rsidP="00364F57">
      <w:r>
        <w:separator/>
      </w:r>
    </w:p>
  </w:endnote>
  <w:endnote w:type="continuationSeparator" w:id="0">
    <w:p w:rsidR="0068533E" w:rsidRDefault="0068533E" w:rsidP="0036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33E" w:rsidRDefault="0068533E" w:rsidP="00364F57">
      <w:r>
        <w:separator/>
      </w:r>
    </w:p>
  </w:footnote>
  <w:footnote w:type="continuationSeparator" w:id="0">
    <w:p w:rsidR="0068533E" w:rsidRDefault="0068533E" w:rsidP="0036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3672"/>
    <w:multiLevelType w:val="hybridMultilevel"/>
    <w:tmpl w:val="F43C619A"/>
    <w:lvl w:ilvl="0" w:tplc="DD826C7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A750FD"/>
    <w:multiLevelType w:val="hybridMultilevel"/>
    <w:tmpl w:val="9AFC4078"/>
    <w:lvl w:ilvl="0" w:tplc="CFB4D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04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CC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8B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A9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A2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0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7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B94F76"/>
    <w:multiLevelType w:val="hybridMultilevel"/>
    <w:tmpl w:val="4E743DFC"/>
    <w:lvl w:ilvl="0" w:tplc="7DD603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0C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32FA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A8E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E1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EA1E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49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AFE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0F0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936E7F"/>
    <w:multiLevelType w:val="hybridMultilevel"/>
    <w:tmpl w:val="2AD0E1E2"/>
    <w:lvl w:ilvl="0" w:tplc="25A817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B637D0"/>
    <w:multiLevelType w:val="hybridMultilevel"/>
    <w:tmpl w:val="D8AA9B52"/>
    <w:lvl w:ilvl="0" w:tplc="7226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991AC3"/>
    <w:multiLevelType w:val="hybridMultilevel"/>
    <w:tmpl w:val="CED8C3DC"/>
    <w:lvl w:ilvl="0" w:tplc="4146A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10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7E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C7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D0E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22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A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DC9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A8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F91111"/>
    <w:multiLevelType w:val="hybridMultilevel"/>
    <w:tmpl w:val="E0F22170"/>
    <w:lvl w:ilvl="0" w:tplc="2C588F4C">
      <w:start w:val="1"/>
      <w:numFmt w:val="decimal"/>
      <w:lvlText w:val="%1、"/>
      <w:lvlJc w:val="left"/>
      <w:pPr>
        <w:ind w:left="90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CC87B47"/>
    <w:multiLevelType w:val="hybridMultilevel"/>
    <w:tmpl w:val="60AE6C06"/>
    <w:lvl w:ilvl="0" w:tplc="A48AF4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87C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AE2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E4F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2CA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420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446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4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64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1F"/>
    <w:rsid w:val="00012A98"/>
    <w:rsid w:val="00012E67"/>
    <w:rsid w:val="000220B5"/>
    <w:rsid w:val="000242EE"/>
    <w:rsid w:val="000727BE"/>
    <w:rsid w:val="000815F8"/>
    <w:rsid w:val="00084158"/>
    <w:rsid w:val="00090516"/>
    <w:rsid w:val="00092A13"/>
    <w:rsid w:val="000B08A1"/>
    <w:rsid w:val="000B3723"/>
    <w:rsid w:val="000C192B"/>
    <w:rsid w:val="000C1BDC"/>
    <w:rsid w:val="000D0D85"/>
    <w:rsid w:val="000E1ECB"/>
    <w:rsid w:val="000E2BB6"/>
    <w:rsid w:val="000E7D5C"/>
    <w:rsid w:val="000F2230"/>
    <w:rsid w:val="000F5928"/>
    <w:rsid w:val="00106C63"/>
    <w:rsid w:val="00136242"/>
    <w:rsid w:val="00144C0E"/>
    <w:rsid w:val="0016152E"/>
    <w:rsid w:val="00173242"/>
    <w:rsid w:val="00183744"/>
    <w:rsid w:val="001A4F79"/>
    <w:rsid w:val="001C0B5B"/>
    <w:rsid w:val="001C1480"/>
    <w:rsid w:val="001C3C5D"/>
    <w:rsid w:val="001D0218"/>
    <w:rsid w:val="001D619D"/>
    <w:rsid w:val="001D661F"/>
    <w:rsid w:val="0022739D"/>
    <w:rsid w:val="002337B0"/>
    <w:rsid w:val="00263598"/>
    <w:rsid w:val="00274930"/>
    <w:rsid w:val="00280C11"/>
    <w:rsid w:val="00280F14"/>
    <w:rsid w:val="002A6F0D"/>
    <w:rsid w:val="002C1442"/>
    <w:rsid w:val="002E0E0A"/>
    <w:rsid w:val="002E644B"/>
    <w:rsid w:val="002F0543"/>
    <w:rsid w:val="00315E70"/>
    <w:rsid w:val="003351B5"/>
    <w:rsid w:val="003369CB"/>
    <w:rsid w:val="00344E33"/>
    <w:rsid w:val="003602D6"/>
    <w:rsid w:val="00364F57"/>
    <w:rsid w:val="0036735D"/>
    <w:rsid w:val="00371789"/>
    <w:rsid w:val="003C42F6"/>
    <w:rsid w:val="00431416"/>
    <w:rsid w:val="00435D12"/>
    <w:rsid w:val="00436A3E"/>
    <w:rsid w:val="004457C7"/>
    <w:rsid w:val="00450471"/>
    <w:rsid w:val="00471677"/>
    <w:rsid w:val="00472AF5"/>
    <w:rsid w:val="004815FB"/>
    <w:rsid w:val="00485831"/>
    <w:rsid w:val="00485C06"/>
    <w:rsid w:val="004A5E3A"/>
    <w:rsid w:val="004C0232"/>
    <w:rsid w:val="004D0DAA"/>
    <w:rsid w:val="004E2FAD"/>
    <w:rsid w:val="004E38FB"/>
    <w:rsid w:val="004F4725"/>
    <w:rsid w:val="004F7E30"/>
    <w:rsid w:val="00534130"/>
    <w:rsid w:val="00534DBB"/>
    <w:rsid w:val="00535399"/>
    <w:rsid w:val="00545FF5"/>
    <w:rsid w:val="00550DA7"/>
    <w:rsid w:val="00566E05"/>
    <w:rsid w:val="0057139C"/>
    <w:rsid w:val="00575408"/>
    <w:rsid w:val="00577567"/>
    <w:rsid w:val="005B1E1D"/>
    <w:rsid w:val="005D17AD"/>
    <w:rsid w:val="005F2A6D"/>
    <w:rsid w:val="005F59C1"/>
    <w:rsid w:val="00603351"/>
    <w:rsid w:val="0061532F"/>
    <w:rsid w:val="0063364A"/>
    <w:rsid w:val="00657A82"/>
    <w:rsid w:val="00682EED"/>
    <w:rsid w:val="0068533E"/>
    <w:rsid w:val="006906AA"/>
    <w:rsid w:val="006A189C"/>
    <w:rsid w:val="006B24DB"/>
    <w:rsid w:val="006D09DE"/>
    <w:rsid w:val="006E5AB5"/>
    <w:rsid w:val="0070528A"/>
    <w:rsid w:val="0071688A"/>
    <w:rsid w:val="007211A4"/>
    <w:rsid w:val="007453ED"/>
    <w:rsid w:val="00755923"/>
    <w:rsid w:val="00765648"/>
    <w:rsid w:val="00791808"/>
    <w:rsid w:val="0079677B"/>
    <w:rsid w:val="007B69AA"/>
    <w:rsid w:val="007B7403"/>
    <w:rsid w:val="007C6C7B"/>
    <w:rsid w:val="007E0908"/>
    <w:rsid w:val="007F69F9"/>
    <w:rsid w:val="00800A62"/>
    <w:rsid w:val="0082060F"/>
    <w:rsid w:val="00827586"/>
    <w:rsid w:val="0084313D"/>
    <w:rsid w:val="00845555"/>
    <w:rsid w:val="00863F1F"/>
    <w:rsid w:val="008D0D4A"/>
    <w:rsid w:val="00904FDB"/>
    <w:rsid w:val="0091329D"/>
    <w:rsid w:val="00953FEB"/>
    <w:rsid w:val="009745BE"/>
    <w:rsid w:val="00983F4F"/>
    <w:rsid w:val="009A066F"/>
    <w:rsid w:val="009A2781"/>
    <w:rsid w:val="009C4FED"/>
    <w:rsid w:val="009D629B"/>
    <w:rsid w:val="009E59C8"/>
    <w:rsid w:val="009F617C"/>
    <w:rsid w:val="00A26C8C"/>
    <w:rsid w:val="00A33C8F"/>
    <w:rsid w:val="00A445BB"/>
    <w:rsid w:val="00A64B37"/>
    <w:rsid w:val="00A751E5"/>
    <w:rsid w:val="00A85483"/>
    <w:rsid w:val="00A95FCE"/>
    <w:rsid w:val="00AD23CE"/>
    <w:rsid w:val="00AD7BF2"/>
    <w:rsid w:val="00AE24BA"/>
    <w:rsid w:val="00B023C6"/>
    <w:rsid w:val="00B05B99"/>
    <w:rsid w:val="00B10EA6"/>
    <w:rsid w:val="00B11A78"/>
    <w:rsid w:val="00B12658"/>
    <w:rsid w:val="00B23E4B"/>
    <w:rsid w:val="00B31ABE"/>
    <w:rsid w:val="00B42AC7"/>
    <w:rsid w:val="00B47FAB"/>
    <w:rsid w:val="00B525D4"/>
    <w:rsid w:val="00B55011"/>
    <w:rsid w:val="00B728EA"/>
    <w:rsid w:val="00B74D0A"/>
    <w:rsid w:val="00B85A69"/>
    <w:rsid w:val="00B915E6"/>
    <w:rsid w:val="00BA0A23"/>
    <w:rsid w:val="00BA110A"/>
    <w:rsid w:val="00BB3140"/>
    <w:rsid w:val="00BD3EE6"/>
    <w:rsid w:val="00C154B0"/>
    <w:rsid w:val="00C31314"/>
    <w:rsid w:val="00CB5CF4"/>
    <w:rsid w:val="00CD51B8"/>
    <w:rsid w:val="00CD6DE9"/>
    <w:rsid w:val="00D04D84"/>
    <w:rsid w:val="00D0687E"/>
    <w:rsid w:val="00D35DA8"/>
    <w:rsid w:val="00D476D8"/>
    <w:rsid w:val="00D546AE"/>
    <w:rsid w:val="00D758A4"/>
    <w:rsid w:val="00D82BE0"/>
    <w:rsid w:val="00D8433C"/>
    <w:rsid w:val="00D86538"/>
    <w:rsid w:val="00DA4237"/>
    <w:rsid w:val="00DA714D"/>
    <w:rsid w:val="00DA744D"/>
    <w:rsid w:val="00DB39FC"/>
    <w:rsid w:val="00DC7B5D"/>
    <w:rsid w:val="00DE4F97"/>
    <w:rsid w:val="00E36396"/>
    <w:rsid w:val="00E411AF"/>
    <w:rsid w:val="00E45B30"/>
    <w:rsid w:val="00E93BDD"/>
    <w:rsid w:val="00EA1022"/>
    <w:rsid w:val="00EA3DFD"/>
    <w:rsid w:val="00EA54B6"/>
    <w:rsid w:val="00EB47DA"/>
    <w:rsid w:val="00EB649C"/>
    <w:rsid w:val="00EC06CF"/>
    <w:rsid w:val="00ED5DED"/>
    <w:rsid w:val="00ED658F"/>
    <w:rsid w:val="00F014F7"/>
    <w:rsid w:val="00F04797"/>
    <w:rsid w:val="00F73127"/>
    <w:rsid w:val="00F7688D"/>
    <w:rsid w:val="00FA37D1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329310-BC0A-4FC8-9A74-3C2899FA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64F5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4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4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4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4F57"/>
    <w:rPr>
      <w:sz w:val="18"/>
      <w:szCs w:val="18"/>
    </w:rPr>
  </w:style>
  <w:style w:type="character" w:customStyle="1" w:styleId="1Char">
    <w:name w:val="标题 1 Char"/>
    <w:basedOn w:val="a0"/>
    <w:link w:val="1"/>
    <w:rsid w:val="00364F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82B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82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6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2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5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229</cp:revision>
  <dcterms:created xsi:type="dcterms:W3CDTF">2016-05-04T22:00:00Z</dcterms:created>
  <dcterms:modified xsi:type="dcterms:W3CDTF">2016-07-03T10:48:00Z</dcterms:modified>
</cp:coreProperties>
</file>